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5E2A" w14:textId="77777777" w:rsidR="00132A16" w:rsidRPr="00201234" w:rsidRDefault="00AE1116" w:rsidP="000A1F0C">
      <w:pPr>
        <w:ind w:left="142"/>
        <w:contextualSpacing/>
        <w:jc w:val="center"/>
        <w:rPr>
          <w:b/>
        </w:rPr>
      </w:pPr>
      <w:r w:rsidRPr="00201234">
        <w:rPr>
          <w:b/>
        </w:rPr>
        <w:t>Порядок оказания медицинской помощи в рамках ОМС</w:t>
      </w:r>
    </w:p>
    <w:p w14:paraId="1524AE36" w14:textId="63BDA792" w:rsidR="000A1F0C" w:rsidRDefault="00AE1116" w:rsidP="000A1F0C">
      <w:pPr>
        <w:pStyle w:val="a3"/>
        <w:numPr>
          <w:ilvl w:val="0"/>
          <w:numId w:val="1"/>
        </w:numPr>
        <w:ind w:left="142"/>
        <w:jc w:val="both"/>
      </w:pPr>
      <w:r w:rsidRPr="0052471B">
        <w:t>Информация о страховых медицинских организациях, с которыми заключен договор на оказание и оплату медицинской помощи</w:t>
      </w:r>
    </w:p>
    <w:p w14:paraId="0ABA6819" w14:textId="7A13A92A" w:rsidR="000A1F0C" w:rsidRDefault="000A1F0C" w:rsidP="000A1F0C">
      <w:pPr>
        <w:pStyle w:val="a3"/>
        <w:ind w:left="142"/>
        <w:jc w:val="both"/>
      </w:pPr>
      <w:r>
        <w:rPr>
          <w:noProof/>
        </w:rPr>
        <w:drawing>
          <wp:inline distT="0" distB="0" distL="0" distR="0" wp14:anchorId="5F4DA299" wp14:editId="08AE1ED2">
            <wp:extent cx="5940425" cy="2477135"/>
            <wp:effectExtent l="0" t="0" r="0" b="0"/>
            <wp:docPr id="4479916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916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30C2" w14:textId="5ACE3041" w:rsidR="000A1F0C" w:rsidRDefault="00AE1116" w:rsidP="000A1F0C">
      <w:pPr>
        <w:pStyle w:val="a3"/>
        <w:numPr>
          <w:ilvl w:val="0"/>
          <w:numId w:val="1"/>
        </w:numPr>
        <w:ind w:left="142"/>
        <w:jc w:val="both"/>
      </w:pPr>
      <w:r w:rsidRPr="0052471B">
        <w:t xml:space="preserve">В рамках ОМС оказывается медицинская помощь по медицинской реабилитации детей с поражением центральной нервной системы   в стационарных условиях. </w:t>
      </w:r>
    </w:p>
    <w:p w14:paraId="568E593E" w14:textId="77777777" w:rsidR="00AE1116" w:rsidRPr="0052471B" w:rsidRDefault="00AE1116" w:rsidP="000A1F0C">
      <w:pPr>
        <w:pStyle w:val="a3"/>
        <w:numPr>
          <w:ilvl w:val="0"/>
          <w:numId w:val="1"/>
        </w:numPr>
        <w:ind w:left="142"/>
        <w:jc w:val="both"/>
      </w:pPr>
      <w:r w:rsidRPr="0052471B">
        <w:t>Объем оказания медицинской помощи по ОМС в 2023г. – 150 законченных случаев</w:t>
      </w:r>
    </w:p>
    <w:p w14:paraId="2E0287E6" w14:textId="6B64ECC0" w:rsidR="00AE1116" w:rsidRPr="0052471B" w:rsidRDefault="000A1F0C" w:rsidP="000A1F0C">
      <w:pPr>
        <w:pStyle w:val="a3"/>
        <w:numPr>
          <w:ilvl w:val="0"/>
          <w:numId w:val="1"/>
        </w:numPr>
        <w:ind w:left="142"/>
        <w:jc w:val="both"/>
      </w:pPr>
      <w:r>
        <w:t>Д</w:t>
      </w:r>
      <w:r w:rsidR="001F4104" w:rsidRPr="0052471B">
        <w:t xml:space="preserve">ля получения направления </w:t>
      </w:r>
      <w:r w:rsidRPr="0052471B">
        <w:t xml:space="preserve">на реабилитацию по ОМС </w:t>
      </w:r>
      <w:r w:rsidR="001F4104" w:rsidRPr="0052471B">
        <w:t xml:space="preserve">на прохождение медицинской реабилитации необходимо обратиться в поликлинику по месту обслуживания ребенка. </w:t>
      </w:r>
    </w:p>
    <w:p w14:paraId="387CBCEA" w14:textId="4A67E8C7" w:rsidR="000A1F0C" w:rsidRDefault="001F4104" w:rsidP="000A1F0C">
      <w:pPr>
        <w:pStyle w:val="a3"/>
        <w:numPr>
          <w:ilvl w:val="0"/>
          <w:numId w:val="1"/>
        </w:numPr>
        <w:ind w:left="142"/>
        <w:jc w:val="both"/>
      </w:pPr>
      <w:r w:rsidRPr="0052471B">
        <w:t xml:space="preserve">Документы </w:t>
      </w:r>
      <w:r w:rsidR="0012559A" w:rsidRPr="0052471B">
        <w:t>для поступления на медицинскую реабилитацию по ОМС:</w:t>
      </w:r>
    </w:p>
    <w:p w14:paraId="37E2593E" w14:textId="77777777" w:rsidR="000A1F0C" w:rsidRDefault="000A1F0C" w:rsidP="000A1F0C">
      <w:pPr>
        <w:pStyle w:val="a3"/>
        <w:ind w:left="142"/>
        <w:jc w:val="both"/>
        <w:rPr>
          <w:u w:val="single"/>
        </w:rPr>
      </w:pPr>
    </w:p>
    <w:p w14:paraId="4453A748" w14:textId="53EFF6F8" w:rsidR="000A1F0C" w:rsidRDefault="000A1F0C" w:rsidP="000A1F0C">
      <w:pPr>
        <w:pStyle w:val="a3"/>
        <w:ind w:left="142"/>
        <w:jc w:val="both"/>
        <w:rPr>
          <w:u w:val="single"/>
        </w:rPr>
      </w:pPr>
      <w:r w:rsidRPr="000A1F0C">
        <w:rPr>
          <w:u w:val="single"/>
        </w:rPr>
        <w:t>Для ребенка</w:t>
      </w:r>
    </w:p>
    <w:p w14:paraId="1B6BAC37" w14:textId="585BC70C" w:rsidR="000A1F0C" w:rsidRDefault="000A1F0C" w:rsidP="000A1F0C">
      <w:pPr>
        <w:pStyle w:val="a3"/>
        <w:ind w:left="142"/>
        <w:jc w:val="both"/>
      </w:pPr>
      <w:r>
        <w:t>— с</w:t>
      </w:r>
      <w:r w:rsidR="0012559A">
        <w:t>правка об отсутствии контакта с инфекционными больными на протяжении 21 дня для детей и на протяжении 14 дней для взрослых (действительна 3 дня)</w:t>
      </w:r>
    </w:p>
    <w:p w14:paraId="03C32236" w14:textId="6F115103" w:rsidR="000A1F0C" w:rsidRDefault="000A1F0C" w:rsidP="000A1F0C">
      <w:pPr>
        <w:pStyle w:val="a3"/>
        <w:ind w:left="142"/>
        <w:jc w:val="both"/>
      </w:pPr>
      <w:r>
        <w:t>— с</w:t>
      </w:r>
      <w:r w:rsidR="0012559A">
        <w:t>анаторно-курортная карта с развернутым диагнозом и информацией об основном заболевании и сопутствующих (срок годности 1 мес.), флюорография органов грудной клетки (не более одного года со дня прохождения для детей с 15-ти лет), анализ крови на RW (не более 1 месяца со дня сдачи для детей с 14-ти лет), общий анализ крови, общий анализ мочи, кал на я/г и соскоб на энтеробиоз</w:t>
      </w:r>
    </w:p>
    <w:p w14:paraId="38039919" w14:textId="05176F31" w:rsidR="000A1F0C" w:rsidRDefault="000A1F0C" w:rsidP="000A1F0C">
      <w:pPr>
        <w:pStyle w:val="a3"/>
        <w:ind w:left="142"/>
        <w:jc w:val="both"/>
      </w:pPr>
      <w:r>
        <w:t>— с</w:t>
      </w:r>
      <w:r w:rsidR="0012559A">
        <w:t>ведения о прививках</w:t>
      </w:r>
      <w:r w:rsidR="0052471B">
        <w:t xml:space="preserve"> </w:t>
      </w:r>
      <w:r>
        <w:t>и результаты</w:t>
      </w:r>
      <w:r w:rsidR="0012559A">
        <w:t xml:space="preserve"> проб Манту или другого диагностического теста на туберкулез (срок годности – 1 год), при положительном результате или отказе заключение врача-фтизиатра</w:t>
      </w:r>
    </w:p>
    <w:p w14:paraId="52321154" w14:textId="12D08FA7" w:rsidR="000A1F0C" w:rsidRDefault="000A1F0C" w:rsidP="000A1F0C">
      <w:pPr>
        <w:pStyle w:val="a3"/>
        <w:ind w:left="142"/>
        <w:jc w:val="both"/>
      </w:pPr>
      <w:r>
        <w:t>— д</w:t>
      </w:r>
      <w:r w:rsidR="0052471B">
        <w:t>ля детей с судорожным синдромом данные ЭЭГ (срок годности 1 год)</w:t>
      </w:r>
    </w:p>
    <w:p w14:paraId="4E0C4E11" w14:textId="4B5B90D8" w:rsidR="000A1F0C" w:rsidRDefault="000A1F0C" w:rsidP="000A1F0C">
      <w:pPr>
        <w:pStyle w:val="a3"/>
        <w:ind w:left="142"/>
        <w:jc w:val="both"/>
      </w:pPr>
      <w:r>
        <w:t>— д</w:t>
      </w:r>
      <w:r w:rsidR="0052471B">
        <w:t xml:space="preserve">ля детей с ДЦП – </w:t>
      </w:r>
      <w:r>
        <w:t>заключение ортопеда</w:t>
      </w:r>
      <w:r w:rsidR="0052471B">
        <w:t xml:space="preserve"> (срок годности 1 год), данные ЭЭГ</w:t>
      </w:r>
    </w:p>
    <w:p w14:paraId="58F8E01E" w14:textId="491BD231" w:rsidR="0052471B" w:rsidRPr="000A1F0C" w:rsidRDefault="000A1F0C" w:rsidP="000A1F0C">
      <w:pPr>
        <w:pStyle w:val="a3"/>
        <w:ind w:left="142"/>
        <w:jc w:val="both"/>
        <w:rPr>
          <w:u w:val="single"/>
        </w:rPr>
      </w:pPr>
      <w:r>
        <w:t>— к</w:t>
      </w:r>
      <w:r w:rsidR="0052471B">
        <w:t>опия медицинского полиса, СНИЛС, свидетельства о рождении</w:t>
      </w:r>
    </w:p>
    <w:p w14:paraId="142C69F1" w14:textId="77777777" w:rsidR="000A1F0C" w:rsidRDefault="000A1F0C" w:rsidP="000A1F0C">
      <w:pPr>
        <w:ind w:left="142"/>
        <w:contextualSpacing/>
        <w:jc w:val="both"/>
      </w:pPr>
    </w:p>
    <w:p w14:paraId="5EBAB4B1" w14:textId="40AD0176" w:rsidR="0052471B" w:rsidRPr="000A1F0C" w:rsidRDefault="0012559A" w:rsidP="000A1F0C">
      <w:pPr>
        <w:ind w:left="142"/>
        <w:contextualSpacing/>
        <w:jc w:val="both"/>
        <w:rPr>
          <w:u w:val="single"/>
        </w:rPr>
      </w:pPr>
      <w:r w:rsidRPr="000A1F0C">
        <w:rPr>
          <w:u w:val="single"/>
        </w:rPr>
        <w:t>Для сопровождающих лиц</w:t>
      </w:r>
    </w:p>
    <w:p w14:paraId="3BB2C351" w14:textId="2BE4AE34" w:rsidR="0052471B" w:rsidRDefault="000A1F0C" w:rsidP="000A1F0C">
      <w:pPr>
        <w:ind w:left="142"/>
        <w:contextualSpacing/>
        <w:jc w:val="both"/>
      </w:pPr>
      <w:r>
        <w:t>—</w:t>
      </w:r>
      <w:r>
        <w:t xml:space="preserve"> ф</w:t>
      </w:r>
      <w:r w:rsidR="0012559A">
        <w:t>люорография органов грудной клетки с описанием - годность 1 год</w:t>
      </w:r>
      <w:r w:rsidR="0052471B">
        <w:t>.</w:t>
      </w:r>
      <w:r w:rsidR="0012559A">
        <w:t xml:space="preserve"> </w:t>
      </w:r>
    </w:p>
    <w:p w14:paraId="53FBCC2C" w14:textId="35AFA47F" w:rsidR="0052471B" w:rsidRDefault="000A1F0C" w:rsidP="000A1F0C">
      <w:pPr>
        <w:ind w:left="142"/>
        <w:contextualSpacing/>
        <w:jc w:val="both"/>
      </w:pPr>
      <w:r>
        <w:t>—</w:t>
      </w:r>
      <w:r w:rsidR="0012559A">
        <w:t xml:space="preserve"> </w:t>
      </w:r>
      <w:r>
        <w:t>а</w:t>
      </w:r>
      <w:r w:rsidR="0012559A">
        <w:t>нализ крови на RW - годность 1 месяц</w:t>
      </w:r>
      <w:r w:rsidR="0052471B">
        <w:t>.</w:t>
      </w:r>
    </w:p>
    <w:p w14:paraId="1ED8B261" w14:textId="02F43698" w:rsidR="000A1F0C" w:rsidRDefault="000A1F0C" w:rsidP="000A1F0C">
      <w:pPr>
        <w:ind w:left="142"/>
        <w:contextualSpacing/>
        <w:jc w:val="both"/>
      </w:pPr>
      <w:r>
        <w:t>—</w:t>
      </w:r>
      <w:r>
        <w:t xml:space="preserve"> с</w:t>
      </w:r>
      <w:r w:rsidR="0012559A">
        <w:t>правка об отсутствии контакта с инфекционными больными в течении 14 дней (действительна 3 дня).</w:t>
      </w:r>
    </w:p>
    <w:p w14:paraId="5F4BBE12" w14:textId="20E60BCF" w:rsidR="0052471B" w:rsidRDefault="000A1F0C" w:rsidP="000A1F0C">
      <w:pPr>
        <w:ind w:left="142"/>
        <w:contextualSpacing/>
        <w:jc w:val="both"/>
      </w:pPr>
      <w:r>
        <w:t>—</w:t>
      </w:r>
      <w:r w:rsidR="0052471B">
        <w:t xml:space="preserve"> </w:t>
      </w:r>
      <w:r>
        <w:t>з</w:t>
      </w:r>
      <w:r w:rsidR="0052471B">
        <w:t>аключение гинеколога (дерматовенеролога)</w:t>
      </w:r>
    </w:p>
    <w:p w14:paraId="77C7AB1A" w14:textId="59831D95" w:rsidR="001F4104" w:rsidRPr="0012559A" w:rsidRDefault="000A1F0C" w:rsidP="000A1F0C">
      <w:pPr>
        <w:ind w:left="142"/>
        <w:contextualSpacing/>
        <w:jc w:val="both"/>
        <w:rPr>
          <w:b/>
        </w:rPr>
      </w:pPr>
      <w:r>
        <w:t>—</w:t>
      </w:r>
      <w:r w:rsidR="0012559A">
        <w:t xml:space="preserve"> </w:t>
      </w:r>
      <w:r>
        <w:t>д</w:t>
      </w:r>
      <w:r w:rsidR="0012559A">
        <w:t>ля получения дополнительных медицинских услуг предоставляется санаторно</w:t>
      </w:r>
      <w:r w:rsidR="0052471B">
        <w:t>-</w:t>
      </w:r>
      <w:r w:rsidR="0012559A">
        <w:t>курортная карта</w:t>
      </w:r>
      <w:r w:rsidR="0012559A" w:rsidRPr="0012559A">
        <w:rPr>
          <w:b/>
        </w:rPr>
        <w:t xml:space="preserve"> </w:t>
      </w:r>
    </w:p>
    <w:sectPr w:rsidR="001F4104" w:rsidRPr="0012559A" w:rsidSect="0013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354B3"/>
    <w:multiLevelType w:val="hybridMultilevel"/>
    <w:tmpl w:val="8B8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1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16"/>
    <w:rsid w:val="000A1F0C"/>
    <w:rsid w:val="0012559A"/>
    <w:rsid w:val="00132A16"/>
    <w:rsid w:val="001F4104"/>
    <w:rsid w:val="00201234"/>
    <w:rsid w:val="0028302F"/>
    <w:rsid w:val="0052471B"/>
    <w:rsid w:val="00572A43"/>
    <w:rsid w:val="00A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97F3"/>
  <w15:docId w15:val="{B58D9E2B-5F12-4577-B1E2-9C5D8A98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F0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2023-10-19T06:53:00Z</dcterms:created>
  <dcterms:modified xsi:type="dcterms:W3CDTF">2023-10-19T07:37:00Z</dcterms:modified>
</cp:coreProperties>
</file>